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FA6731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FA6731">
              <w:rPr>
                <w:rFonts w:ascii="Times New Roman" w:hAnsi="Times New Roman"/>
                <w:sz w:val="24"/>
                <w:lang w:val="sr-Latn-CS"/>
              </w:rPr>
              <w:t>612-00-00082/2014-04</w:t>
            </w:r>
          </w:p>
          <w:p w:rsidR="0038116A" w:rsidRDefault="00FA6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27.06.2014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FA6731">
        <w:rPr>
          <w:rFonts w:ascii="Times New Roman" w:hAnsi="Times New Roman"/>
          <w:sz w:val="24"/>
          <w:lang w:val="sr-Latn-CS"/>
        </w:rPr>
        <w:t>27.06.2014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FA6731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FA6731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FA6731">
        <w:rPr>
          <w:rFonts w:ascii="Times New Roman" w:hAnsi="Times New Roman"/>
          <w:sz w:val="24"/>
        </w:rPr>
        <w:t>ПАРТИЗАНСКА 14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FA6731">
        <w:rPr>
          <w:rFonts w:ascii="Times New Roman" w:hAnsi="Times New Roman"/>
          <w:sz w:val="24"/>
        </w:rPr>
        <w:t>ВРАЊЕ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FA6731">
        <w:rPr>
          <w:rFonts w:ascii="Times New Roman" w:hAnsi="Times New Roman"/>
          <w:sz w:val="24"/>
        </w:rPr>
        <w:t>102188151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FA6731">
        <w:rPr>
          <w:rFonts w:ascii="Times New Roman" w:hAnsi="Times New Roman"/>
          <w:sz w:val="24"/>
        </w:rPr>
        <w:t>06876617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FA6731">
        <w:rPr>
          <w:rFonts w:ascii="Times New Roman" w:hAnsi="Times New Roman"/>
          <w:sz w:val="24"/>
        </w:rPr>
        <w:t xml:space="preserve">студијског програма </w:t>
      </w:r>
      <w:r w:rsidR="00FA6731">
        <w:rPr>
          <w:rFonts w:ascii="Times New Roman" w:hAnsi="Times New Roman"/>
          <w:b/>
          <w:sz w:val="24"/>
        </w:rPr>
        <w:t>ОАС4 - ОБРАЗОВАЊЕ УЧИТЕЉА</w:t>
      </w:r>
      <w:r w:rsidR="00FA6731">
        <w:rPr>
          <w:rFonts w:ascii="Times New Roman" w:hAnsi="Times New Roman"/>
          <w:sz w:val="24"/>
        </w:rPr>
        <w:t xml:space="preserve"> у оквиру поља друштвено-хуманистичких наука и то за 120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FA6731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FA6731">
        <w:rPr>
          <w:rFonts w:ascii="Times New Roman" w:hAnsi="Times New Roman"/>
          <w:sz w:val="24"/>
        </w:rPr>
        <w:t>ПАРТИЗАНСКА 14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FA6731">
        <w:rPr>
          <w:rFonts w:ascii="Times New Roman" w:hAnsi="Times New Roman"/>
          <w:sz w:val="24"/>
        </w:rPr>
        <w:t>ВРАЊЕ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FA6731">
        <w:rPr>
          <w:rFonts w:ascii="Times New Roman" w:hAnsi="Times New Roman"/>
          <w:sz w:val="24"/>
          <w:lang w:val="sr-Latn-CS"/>
        </w:rPr>
        <w:t>15.1.2014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FA6731">
        <w:rPr>
          <w:rFonts w:ascii="Times New Roman" w:hAnsi="Times New Roman"/>
          <w:sz w:val="24"/>
        </w:rPr>
        <w:t xml:space="preserve">студијског програма </w:t>
      </w:r>
      <w:r w:rsidR="00FA6731">
        <w:rPr>
          <w:rFonts w:ascii="Times New Roman" w:hAnsi="Times New Roman"/>
          <w:b/>
          <w:sz w:val="24"/>
        </w:rPr>
        <w:t>ОАС4 - ОБРАЗОВАЊЕ УЧИТЕЉА</w:t>
      </w:r>
      <w:r w:rsidR="00FA6731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FA6731">
        <w:rPr>
          <w:rFonts w:ascii="Times New Roman" w:hAnsi="Times New Roman"/>
          <w:sz w:val="24"/>
          <w:lang w:val="sr-Latn-CS"/>
        </w:rPr>
        <w:t>612-00-00082/2014-04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FA6731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Студијски програм садржи све Законом предвиђене елементе и има предвиђен број ЕСП бодовa (240 ЕСПБ бодова, 8 семестара), наведен је недељни фонд часова за сваки предмет, листа обавезних и изборних предмета. Бодована вредност исказана је за сваки предмет, предвиђен је број часова за израду завршног рада и праксе студената. Проценат изборних предмета је у складу стандардом. Студијски програм по структури и садржају прати одговарајућа кретања из области образовања учитеља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Студијски програм обезбеђује стицање компетенција за професију учитељ. Програм је у складу са савременим тенденцијама и праксом европских институција. Студије омогућавају студентима мобилност, мултидисциплинарни приступ у образовању са тенденцијом да се на основу одговарајућих садржаја интегришу савремена теоријска знања и професионална пракса студената. Сврха је јасно и недвосмислено формулисана и у складу је са основним задацима и циљевима Установе.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Циљеви су јасно дефинисани  и у складу са задацима Установе и укључују стицање одређених компетенција и вештина а базирају се на основним принципима Болоњске декларације, Закону о високом образовању, европској димензији образовања, искуствима високошколских установа за образовање учитеља из европског образовног простора и резултатима анализе постојеће праксе образовања учитеља и његове савремене сложене улоге у васпитно-образовном процесу.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Јасно су наведене опште и предметно-специфичне способности које студенти стичу савладавањем програма. Стручне компетенције обухватају предметно-специфичне односно методичке, компетенције подучавања и учења, компетенције подршке развоју личности ученика и вредности социјалне инклузије, компетенције комуникације и сарадње, компетенције самоевалуације и професионалног развоја.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 xml:space="preserve">Структура курикулума обухвата распоред предмета по семестрима, фонд часова и број ЕСП бодова. Однос броја часова предавања и вежби је у складу са стандардом. Сви прилози и табеле предвиђени за овај стандард су дати. Постоји спецификација предмета са статусом, називом, недељним фондом часова, циљевима, исходима, садржајем, литературом, наставним методама, начином оцењивања и бодовања. Предвиђен је број поена за предиспитне обавезе које студент треба да испуни у току наставе, као и број поена који добија на испиту. Према стандардима проценат заступљености групе предмета су у оквирима предвиђеног. Проценат изборности је 20%. 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Студијски програм је целовит и свеобухватан. Програм нуди најновија стручна сазнања и усаглашен је са другим студијским програмима Установе. Усклађен је са савременим токовима и стањем струке и науке у друштвено-хуманистичком пољу. Такође је компатибилан са студијским програмима високошколских установа из образовног европског простора. Програм је усаглашен са програмима за образовање учитеља другог и трећег нивоа студија за образовање учитеља.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 xml:space="preserve">Планирани број студената који се уписује на студијски програма (120) у складу је са расположивим материјално-техничким и кадровским могућностима Установе. Упис студената се врши на основу расписаног конкурса који садржи све потребне елементе. Упис студената врши Комисија за пријем студената. Услови уписа студената регулисани су Правилником о упису студената. При упису се проверавају посебне </w:t>
      </w:r>
      <w:r w:rsidRPr="00515FD4">
        <w:rPr>
          <w:rFonts w:ascii="Times New Roman" w:hAnsi="Times New Roman"/>
          <w:bCs/>
          <w:sz w:val="24"/>
          <w:szCs w:val="24"/>
          <w:lang w:val="sr-Cyrl-CS"/>
        </w:rPr>
        <w:lastRenderedPageBreak/>
        <w:t>способности: говорне, музичке и физичке способности које су неопходне за обављање учитељског позива.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Полагањем испита студенти стичу одређени број ЕСП бодова. Однос бодова које студент стиче у предиспитним обавезама и на испиту у складу је са Законом. Континуирано се прати напредовање студената на студијском програму. Студент стиче одређен број поена полагањем испита испуњавањем предиспитних обавеза. Број активности у предиспитним обавезама је разноврстан (предавање, вежбе, семинари, есеји, колоквијуми, самосталан рад, консултације...). Сваки предмет у студијском програму има јасан начин стицања поена извршавањем предиспитних обавеза и на испиту.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515FD4">
        <w:rPr>
          <w:rFonts w:ascii="Times New Roman" w:hAnsi="Times New Roman"/>
          <w:sz w:val="24"/>
          <w:szCs w:val="24"/>
          <w:lang w:val="sr-Cyrl-RS"/>
        </w:rPr>
        <w:t>Укупан број наставника на програму је 30. Са пуним радним временом је 24, а 6 са непуним радним временом. Просечно оптерећење наставника на овом студијском програму је 3,03. Копије радних књижица дате су за све наставнике и сараднике као и Уговори о допунском ангажовању за наставнике са непуним радним временом и сагласности за наставнике ангажоване до 1/3 пуног радног времена. Испуњен је захтев према стандарду да 70% активне наставе држе наставници са пуним радним временом. Испуњен је стандард да најмање 50% наставника има научни назив доктор наука. Просечно оптерећeње наставника је 10,35. Квалификације наставног особља одговарају нивоу њихових задужења што се види из јединствене Књиге наставника које су документоване референцама и подацима доступним јавности. Величина група за предавања и вежбе одговара Допуни стандарда за акредитацију студијског програма.</w:t>
      </w:r>
    </w:p>
    <w:p w:rsidR="00515FD4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Обезбеђен је простор за реализацију наставе укупне површине 1251м</w:t>
      </w:r>
      <w:r w:rsidRPr="00515FD4"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 w:rsidRPr="00515FD4">
        <w:rPr>
          <w:rFonts w:ascii="Times New Roman" w:hAnsi="Times New Roman"/>
          <w:bCs/>
          <w:sz w:val="24"/>
          <w:szCs w:val="24"/>
          <w:lang w:val="sr-Cyrl-CS"/>
        </w:rPr>
        <w:t xml:space="preserve"> што одговара стандарду укупне површине простора 4м</w:t>
      </w:r>
      <w:r w:rsidRPr="00515FD4"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 w:rsidRPr="00515FD4">
        <w:rPr>
          <w:rFonts w:ascii="Times New Roman" w:hAnsi="Times New Roman"/>
          <w:bCs/>
          <w:sz w:val="24"/>
          <w:szCs w:val="24"/>
          <w:lang w:val="sr-Cyrl-CS"/>
        </w:rPr>
        <w:t xml:space="preserve"> бруто површине по студенту. Укупан простор је у власништву Учитељског факултета. Установа је обезбедила кабинете за наставнике и сараднике за сваки предмет и канцеларију за седнице. Обезбеђена је техничка опрема за савремено извођење наставе, као и довољна бибилиографска грађа. </w:t>
      </w:r>
    </w:p>
    <w:p w:rsidR="00A07D15" w:rsidRPr="00515FD4" w:rsidRDefault="00515FD4" w:rsidP="00515FD4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15FD4">
        <w:rPr>
          <w:rFonts w:ascii="Times New Roman" w:hAnsi="Times New Roman"/>
          <w:bCs/>
          <w:sz w:val="24"/>
          <w:szCs w:val="24"/>
          <w:lang w:val="sr-Cyrl-CS"/>
        </w:rPr>
        <w:t>Контрола квалитета студијског програма утврђена је Правилником о квалитету. Врши се на основу квалитативних и квантитативних показатеља које доставља служба и до којих се долази различитим техникама. Провера квалитета врши се у свим сегментима, ресурсима и службама на Факултету. Контролу квалитета врше сталне и повремене комисије и Одбор за квалитет.  Правилником о уџбеницима утврђени су сви услови потребни за квалитет и издавање уџбеника. Извештај о самовредновању резултата студијског програма  садржи све поступке, процедуре, резултате самовредновања, уочене слабости и предлоге мера за унапређивање квалитета наставе и квалитета свих служби на Факултету. Извештај је детаљно урађен. Јавно је публикован документ Политика обезбеђења квалитета. Извод из Статута Установе установљава делокруг рада Комисије за квалитет. Студенти су укључени у Комисију за контролу квалитета, поред представника других структура на Факултету. Улога студената у контроли квалитета се јасно види из Извештаја о самовредновању студијских програма.</w:t>
      </w:r>
      <w:bookmarkStart w:id="8" w:name="_GoBack"/>
      <w:bookmarkEnd w:id="8"/>
      <w:r w:rsidR="00FA673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FA6731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FA673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FA6731"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FA6731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 w:rsidR="0038116A">
        <w:rPr>
          <w:rFonts w:ascii="Times New Roman" w:hAnsi="Times New Roman"/>
          <w:sz w:val="24"/>
        </w:rPr>
        <w:t xml:space="preserve">  </w:t>
      </w:r>
      <w:r w:rsidR="00FA6731">
        <w:rPr>
          <w:rFonts w:ascii="Times New Roman" w:hAnsi="Times New Roman"/>
          <w:sz w:val="24"/>
        </w:rPr>
        <w:t>за студијски програм ОАС4 - ОБРАЗОВАЊЕ УЧИТЕЉА</w:t>
      </w:r>
      <w:r w:rsidR="0038116A">
        <w:rPr>
          <w:rFonts w:ascii="Times New Roman" w:hAnsi="Times New Roman"/>
          <w:sz w:val="24"/>
        </w:rPr>
        <w:t xml:space="preserve"> </w:t>
      </w:r>
      <w:r w:rsidR="00FA6731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lastRenderedPageBreak/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FA6731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FA6731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FA6731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FA6731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ПАРТИЗАНСКА 14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ВРАЊЕ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102188151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06876617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>ОАС4 - ОБРАЗОВАЊЕ УЧИТЕЉА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120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FA6731">
              <w:rPr>
                <w:rFonts w:ascii="Times New Roman" w:hAnsi="Times New Roman"/>
                <w:sz w:val="24"/>
                <w:lang w:val="sr-Latn-CS"/>
              </w:rPr>
              <w:t>612-00-00082/2014-04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FA6731">
              <w:rPr>
                <w:rFonts w:ascii="Times New Roman" w:hAnsi="Times New Roman"/>
                <w:sz w:val="24"/>
                <w:lang w:val="sr-Latn-CS"/>
              </w:rPr>
              <w:t>27.06.2014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A058F8E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8E67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98C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EA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AD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42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07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8C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A20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1A905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85E98" w:tentative="1">
      <w:start w:val="1"/>
      <w:numFmt w:val="lowerLetter"/>
      <w:lvlText w:val="%2."/>
      <w:lvlJc w:val="left"/>
      <w:pPr>
        <w:ind w:left="1440" w:hanging="360"/>
      </w:pPr>
    </w:lvl>
    <w:lvl w:ilvl="2" w:tplc="50BCD10A" w:tentative="1">
      <w:start w:val="1"/>
      <w:numFmt w:val="lowerRoman"/>
      <w:lvlText w:val="%3."/>
      <w:lvlJc w:val="right"/>
      <w:pPr>
        <w:ind w:left="2160" w:hanging="180"/>
      </w:pPr>
    </w:lvl>
    <w:lvl w:ilvl="3" w:tplc="1794CA88" w:tentative="1">
      <w:start w:val="1"/>
      <w:numFmt w:val="decimal"/>
      <w:lvlText w:val="%4."/>
      <w:lvlJc w:val="left"/>
      <w:pPr>
        <w:ind w:left="2880" w:hanging="360"/>
      </w:pPr>
    </w:lvl>
    <w:lvl w:ilvl="4" w:tplc="622EFF62" w:tentative="1">
      <w:start w:val="1"/>
      <w:numFmt w:val="lowerLetter"/>
      <w:lvlText w:val="%5."/>
      <w:lvlJc w:val="left"/>
      <w:pPr>
        <w:ind w:left="3600" w:hanging="360"/>
      </w:pPr>
    </w:lvl>
    <w:lvl w:ilvl="5" w:tplc="12CC65DA" w:tentative="1">
      <w:start w:val="1"/>
      <w:numFmt w:val="lowerRoman"/>
      <w:lvlText w:val="%6."/>
      <w:lvlJc w:val="right"/>
      <w:pPr>
        <w:ind w:left="4320" w:hanging="180"/>
      </w:pPr>
    </w:lvl>
    <w:lvl w:ilvl="6" w:tplc="DD5250E6" w:tentative="1">
      <w:start w:val="1"/>
      <w:numFmt w:val="decimal"/>
      <w:lvlText w:val="%7."/>
      <w:lvlJc w:val="left"/>
      <w:pPr>
        <w:ind w:left="5040" w:hanging="360"/>
      </w:pPr>
    </w:lvl>
    <w:lvl w:ilvl="7" w:tplc="DFCE9D9A" w:tentative="1">
      <w:start w:val="1"/>
      <w:numFmt w:val="lowerLetter"/>
      <w:lvlText w:val="%8."/>
      <w:lvlJc w:val="left"/>
      <w:pPr>
        <w:ind w:left="5760" w:hanging="360"/>
      </w:pPr>
    </w:lvl>
    <w:lvl w:ilvl="8" w:tplc="C8747D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31"/>
    <w:rsid w:val="00050E9C"/>
    <w:rsid w:val="002F49CC"/>
    <w:rsid w:val="0038116A"/>
    <w:rsid w:val="00381277"/>
    <w:rsid w:val="004D0607"/>
    <w:rsid w:val="00505B4F"/>
    <w:rsid w:val="00515FD4"/>
    <w:rsid w:val="005865E1"/>
    <w:rsid w:val="0060172A"/>
    <w:rsid w:val="0060653D"/>
    <w:rsid w:val="006E1271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A6731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D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D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3057E2-CF76-4319-B72E-9608EC05F6FF}"/>
</file>

<file path=customXml/itemProps2.xml><?xml version="1.0" encoding="utf-8"?>
<ds:datastoreItem xmlns:ds="http://schemas.openxmlformats.org/officeDocument/2006/customXml" ds:itemID="{644E592B-534A-47A8-B0B4-1468B3B22187}"/>
</file>

<file path=customXml/itemProps3.xml><?xml version="1.0" encoding="utf-8"?>
<ds:datastoreItem xmlns:ds="http://schemas.openxmlformats.org/officeDocument/2006/customXml" ds:itemID="{3F88768A-05BE-4F9F-BF4B-1351458879A6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3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2014-09-25T08:53:00Z</dcterms:created>
  <dcterms:modified xsi:type="dcterms:W3CDTF">2014-09-25T09:04:00Z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