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C22B70">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C22B70">
              <w:rPr>
                <w:rFonts w:ascii="Times New Roman" w:hAnsi="Times New Roman"/>
                <w:sz w:val="24"/>
                <w:lang w:val="sr-Latn-CS"/>
              </w:rPr>
              <w:t>612-00-00082/2014-04</w:t>
            </w:r>
          </w:p>
          <w:p w:rsidR="0038116A" w:rsidRDefault="00C22B70">
            <w:pPr>
              <w:spacing w:after="0" w:line="240" w:lineRule="auto"/>
              <w:jc w:val="center"/>
              <w:rPr>
                <w:rFonts w:ascii="Times New Roman" w:hAnsi="Times New Roman"/>
                <w:b/>
                <w:sz w:val="24"/>
              </w:rPr>
            </w:pPr>
            <w:r>
              <w:rPr>
                <w:rFonts w:ascii="Times New Roman" w:hAnsi="Times New Roman"/>
                <w:b/>
                <w:sz w:val="24"/>
                <w:lang w:val="sr-Latn-CS"/>
              </w:rPr>
              <w:t>27.06.2014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C22B70">
        <w:rPr>
          <w:rFonts w:ascii="Times New Roman" w:hAnsi="Times New Roman"/>
          <w:sz w:val="24"/>
          <w:lang w:val="sr-Latn-CS"/>
        </w:rPr>
        <w:t>27.06.2014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C22B70">
        <w:rPr>
          <w:rFonts w:ascii="Times New Roman" w:hAnsi="Times New Roman"/>
          <w:b/>
          <w:sz w:val="24"/>
        </w:rPr>
        <w:t>високошколске установе</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C22B70">
        <w:rPr>
          <w:rFonts w:ascii="Times New Roman" w:hAnsi="Times New Roman"/>
          <w:b/>
          <w:sz w:val="24"/>
        </w:rPr>
        <w:t>УНИВЕРЗИТЕТ У НИШУ-УЧИТЕЉСКИ ФАКУЛТЕТ У ВРАЊУ</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C22B70">
        <w:rPr>
          <w:rFonts w:ascii="Times New Roman" w:hAnsi="Times New Roman"/>
          <w:sz w:val="24"/>
        </w:rPr>
        <w:t>ПАРТИЗАНСКА 14</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C22B70">
        <w:rPr>
          <w:rFonts w:ascii="Times New Roman" w:hAnsi="Times New Roman"/>
          <w:sz w:val="24"/>
        </w:rPr>
        <w:t>ВРАЊЕ</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C22B70">
        <w:rPr>
          <w:rFonts w:ascii="Times New Roman" w:hAnsi="Times New Roman"/>
          <w:sz w:val="24"/>
        </w:rPr>
        <w:t>102188151</w:t>
      </w:r>
      <w:r>
        <w:rPr>
          <w:rFonts w:ascii="Times New Roman" w:hAnsi="Times New Roman"/>
          <w:sz w:val="24"/>
          <w:lang w:val="sr-Cyrl-CS"/>
        </w:rPr>
        <w:t xml:space="preserve">, Матични број: </w:t>
      </w:r>
      <w:r w:rsidR="00C22B70">
        <w:rPr>
          <w:rFonts w:ascii="Times New Roman" w:hAnsi="Times New Roman"/>
          <w:sz w:val="24"/>
        </w:rPr>
        <w:t>06876617</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C22B70">
        <w:rPr>
          <w:rFonts w:ascii="Times New Roman" w:hAnsi="Times New Roman"/>
          <w:sz w:val="24"/>
        </w:rPr>
        <w:t>високошколских установа.</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C22B70">
        <w:rPr>
          <w:rFonts w:ascii="Times New Roman" w:hAnsi="Times New Roman"/>
          <w:b/>
          <w:sz w:val="24"/>
        </w:rPr>
        <w:t>УНИВЕРЗИТЕТ У НИШУ-УЧИТЕЉСКИ ФАКУЛТЕТ У ВРАЊУ</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C22B70">
        <w:rPr>
          <w:rFonts w:ascii="Times New Roman" w:hAnsi="Times New Roman"/>
          <w:sz w:val="24"/>
        </w:rPr>
        <w:t>ПАРТИЗАНСКА 14</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C22B70">
        <w:rPr>
          <w:rFonts w:ascii="Times New Roman" w:hAnsi="Times New Roman"/>
          <w:sz w:val="24"/>
        </w:rPr>
        <w:t>ВРАЊЕ</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C22B70">
        <w:rPr>
          <w:rFonts w:ascii="Times New Roman" w:hAnsi="Times New Roman"/>
          <w:sz w:val="24"/>
          <w:lang w:val="sr-Latn-CS"/>
        </w:rPr>
        <w:t>15.1.2014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под бројем </w:t>
      </w:r>
      <w:r w:rsidR="00C22B70">
        <w:rPr>
          <w:rFonts w:ascii="Times New Roman" w:hAnsi="Times New Roman"/>
          <w:sz w:val="24"/>
          <w:lang w:val="sr-Latn-CS"/>
        </w:rPr>
        <w:t>612-00-00082/2014-04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C22B70">
        <w:rPr>
          <w:rFonts w:ascii="Times New Roman" w:hAnsi="Times New Roman"/>
          <w:b/>
          <w:sz w:val="24"/>
        </w:rPr>
        <w:t>УНИВЕРЗИТЕТ У НИШУ-УЧИТЕЉСКИ ФАКУЛТЕТ У ВРАЊУ</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lastRenderedPageBreak/>
        <w:t>Основни задаци показују друштвену оправданост постојања високошколске установе, одређују правце њене делатности и служе као основа за одређивање приоритета у раду. Основни задаци указују сврху постојања високошколске установе, сажети су, јасно дефинисани и односе се на све студијске програме. Формално су усвојени од стране надлежних органа Установе и налазе се на сајту високошколске установе и тиме су јавно доступни. Циљеви су конкретни и произлазе из основних задатака Установе, из мисије и визије Факултета, одређују конкретне резултате које Установа жели да оствари и представљају основу за контролу њеног рада. Циљеви су конкретни, оствариви и мерљиви, ближе одређују укупну делатност Установе. Све активности Установе, а посебно студијски програми у складу су са утврђеним задацима и циљевима Установе који се периодично преиспитују, вреднује њихова сврсисходност, доносе мере за унапређивање.</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Планирање је засновано на систематичном и сталном прикупљању података у реализацији свих активности на свим нивоима студија. План рада Установе доступан је јавности као и остали документи. Редовно и систематично се контролише испуњавање основних задатака и сачињава извештај који је доступан јавности. Извештај садржи све елементе који документују комплетну делатност Установе. Постоји Статутом утврђена организациона структура и систем управљања. Из описа стандарда, прилога и табеле види се да је јасно усвојена организациона структура и систем управљања на високошколској установи.</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У опису стандарда детаљно су описане квалификације које означавају завршетак основних академских студија и завршетак дипломских академских студија и одговарају свим нивоима студија. Студенти стичу квалификације које одговарају завршетку основних студија као и квалификације другог нивоа - мастер студије. На Установи се реализује 5 студијских програма, 2 ОАС, 2 МАС и 1 ДС. У погледу броја група на основним и мастер студијама задовољен је стандард. Установа има распоред часова наставе за студенте за све године и нивое студија. Студијски програми основних и мастер студија имају усклађену структуру одговарајуће ширине и дубине и примерне методе учења што се види из прилога Књиге предмета. Студијски програми су повезана и усклађена целина која обухвата циљеве, садржаје, структуру, услове и процедуру уписа студената, методе учења, исходе и компетенције студената, начин провере знања. За сваки предмет одређен је ЕСПБ бодова сразмерно оптерећењу - 1 бод приближно 30 сати.</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 xml:space="preserve">Наставници и сарадници високошколске установе учествују у реализацији 6 научно-истраживачких пројеката, националног и међународног значаја, од којих су у 4 пројекта сарадници, а носиоци пројекта су други факултети. У тим пројектима учествује 6 наставника. Учешћем у међународним и националним пројектима прати се научноистраживачки рад у оба окружења. Резултати научноистраживачког рада усклађени су са циљевима програма, уско су везани за уже научне области студијских програма на основним и мастер студијама. Знања до којих се долази научноистраживачким радом укључују се у наставни процес. Установа подстиче и обезбеђује услове наставницима и сарадницима да се активно баве научноистраживачким радом и да објављују резултате тог рада. У том циљу издаје Годишњак - Зборник радова наставника и сарадника Факултета. </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 xml:space="preserve">Број наставника и сарадника одговара установљеним бројчаним стандардима. На свим студијским програмима ангажован је 51 наставник и сарадник, од чега су 36 наставници. 25 наставника је са пуним радним временом (100%), 11 је ангажовано по уговору. За све наставнике су приложене фотокопије радних књижица и уговори о ангажовању, односно сагласности за рад на другим факултетима. Просечно оптерећење </w:t>
      </w:r>
      <w:r w:rsidRPr="00410B9D">
        <w:rPr>
          <w:rFonts w:ascii="Times New Roman" w:hAnsi="Times New Roman"/>
          <w:sz w:val="24"/>
          <w:szCs w:val="24"/>
          <w:lang w:val="sr-Cyrl-CS"/>
        </w:rPr>
        <w:lastRenderedPageBreak/>
        <w:t>наставника на нивоу установе је 6,19 часова недељно. Наставници запослени 100% држе 90,17% наставе. Нема наставника на нивоу установе чије је укупно ангажовање веће од 12 часова недељно. Нема наставника чије године живота прелазе Законом прописану границу (67 година), као ни оних чији је изборни период по закону истекао. Просечно оптерећење сарадника на нивоу установе је 13,89 што је у складу са Допуном стандарда о оптерећењу стандарда. Они просечно остварују појединачно више од 300 часова годишње. Из прилога и табела се закључује да је на реализацији студијских програма ангажовано 15 сарадника што је довољно да покрије број часова вежби у установи. За све наставнике на свим студијским програмима и нивоима студија квалификације су документоване одређеним подацима и одређеним референцама о стручним квалификацијама и дипломама што се види из прилога у Књизи наставника за студијске програме високошколске установе. Обезбеђени су услови за рад, напредак и развој што одговара стандарду. На основним академским студијама величина група за вежбе је 50, односно 30 у зависности од групе предмета, а на мастер академским студијама је 25, што одговара Допуни стандарда за акредитацију студијских програма.</w:t>
      </w:r>
    </w:p>
    <w:p w:rsidR="00410B9D" w:rsidRPr="00410B9D" w:rsidRDefault="00410B9D" w:rsidP="00410B9D">
      <w:pPr>
        <w:spacing w:after="120" w:line="240" w:lineRule="auto"/>
        <w:ind w:firstLine="567"/>
        <w:jc w:val="both"/>
        <w:rPr>
          <w:rFonts w:ascii="Times New Roman" w:hAnsi="Times New Roman"/>
          <w:b/>
          <w:sz w:val="24"/>
          <w:szCs w:val="24"/>
          <w:lang w:val="sr-Cyrl-CS"/>
        </w:rPr>
      </w:pPr>
      <w:r w:rsidRPr="00410B9D">
        <w:rPr>
          <w:rFonts w:ascii="Times New Roman" w:hAnsi="Times New Roman"/>
          <w:sz w:val="24"/>
          <w:szCs w:val="24"/>
          <w:lang w:val="sr-Cyrl-CS"/>
        </w:rPr>
        <w:t xml:space="preserve">У Установи постоји квалификовано особље за обављање библиотечких послова. Такође је задовољен стандард у погледу обављања послова информационих система. Секретарске послове обавља стручно особље чиме је задовољен и тај сегмент стандарда. Студентском службом руководи лице са високом образовањем. Постоји јасно дефинисан број студената, као и услови за упис и пријем студената. Конкурс садржи све неопходне податке. Пријем спроводи Комисија за пријем студената. Систематски и стално се прати успех студената и њихово напредовање на сваком студијском програму. Број студената који су уписали годину на оба студијска програма и њихове просечне оцене на годинама које се крећу од 6,67 до 7,31. На сличан начин и по истој методологији праћени су подаци о напредовању студената другог степена за оба студијска програма. </w:t>
      </w:r>
    </w:p>
    <w:p w:rsidR="00410B9D" w:rsidRPr="00410B9D" w:rsidRDefault="00410B9D" w:rsidP="00410B9D">
      <w:pPr>
        <w:spacing w:after="120" w:line="240" w:lineRule="auto"/>
        <w:ind w:firstLine="567"/>
        <w:jc w:val="both"/>
        <w:rPr>
          <w:rFonts w:ascii="Times New Roman" w:hAnsi="Times New Roman"/>
          <w:b/>
          <w:sz w:val="24"/>
          <w:szCs w:val="24"/>
          <w:lang w:val="sr-Cyrl-CS"/>
        </w:rPr>
      </w:pPr>
      <w:r w:rsidRPr="00410B9D">
        <w:rPr>
          <w:rFonts w:ascii="Times New Roman" w:hAnsi="Times New Roman"/>
          <w:sz w:val="24"/>
          <w:szCs w:val="24"/>
          <w:lang w:val="sr-Cyrl-CS"/>
        </w:rPr>
        <w:t xml:space="preserve">Обезбеђен је одговарајући простор за извођење наставе и обављање административних и управних послова. Простор је у власништву Учитељског факултета у Врању и има употребну дозволу за обављање наставно-научне делатности и у складу са тим задовољава одговарајуће урбанистичке, техничко-технолошке, хигијенске и здравствено-сигурносне услове. Постоји одговарајући радни простор за наставнике и сараднике. Факултет располаже одговарајућом техничком опремом у складу са потребом студијских програма. </w:t>
      </w:r>
    </w:p>
    <w:p w:rsidR="00410B9D" w:rsidRPr="00410B9D" w:rsidRDefault="00410B9D" w:rsidP="00410B9D">
      <w:pPr>
        <w:spacing w:after="120" w:line="240" w:lineRule="auto"/>
        <w:ind w:firstLine="567"/>
        <w:jc w:val="both"/>
        <w:rPr>
          <w:rFonts w:ascii="Times New Roman" w:hAnsi="Times New Roman"/>
          <w:b/>
          <w:sz w:val="24"/>
          <w:szCs w:val="24"/>
          <w:lang w:val="sr-Cyrl-CS"/>
        </w:rPr>
      </w:pPr>
      <w:r w:rsidRPr="00410B9D">
        <w:rPr>
          <w:rFonts w:ascii="Times New Roman" w:hAnsi="Times New Roman"/>
          <w:sz w:val="24"/>
          <w:szCs w:val="24"/>
          <w:lang w:val="sr-Cyrl-CS"/>
        </w:rPr>
        <w:t>Факултет има библиотеку која је снабдевена литературом из више области која се изучава на Факултету. Из Табеле 10.2 види се да има укупно 23.974 библиотечких јединица. Из табеле 10.3 види се збирни преглед броја уџбеника по областима (14541) који се креће од 109 до 6565 књига. Факултет испуњава овај стандард јер има више од 1000 библиотечких јединица. На Факултету постоје 3 компјутерске лабораторије које су опремљене са 56 рачунара који су на располагању студентима а обезбеђен је и приступ интернету.</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Установа стиче приходе на основу Закона о високом образовању. Овим средствима Факултет самостално управља на основу Закона и општих аката Факултета. Извори финансирања су средства која обезбеђује оснивачка и сопствена средства Факултета. У последње три године Факултет је остварио позитивне резултате. Финансијски план садржи јасно представљене будуће планиране приходе и расходе по врстама и динамици. Финансијски план је јавно доступан.</w:t>
      </w:r>
    </w:p>
    <w:p w:rsidR="00410B9D" w:rsidRPr="00410B9D" w:rsidRDefault="00410B9D" w:rsidP="00410B9D">
      <w:pPr>
        <w:spacing w:after="120" w:line="240" w:lineRule="auto"/>
        <w:ind w:firstLine="567"/>
        <w:jc w:val="both"/>
        <w:rPr>
          <w:rFonts w:ascii="Times New Roman" w:hAnsi="Times New Roman"/>
          <w:b/>
          <w:sz w:val="24"/>
          <w:szCs w:val="24"/>
          <w:lang w:val="sr-Cyrl-CS"/>
        </w:rPr>
      </w:pPr>
      <w:r w:rsidRPr="00410B9D">
        <w:rPr>
          <w:rFonts w:ascii="Times New Roman" w:hAnsi="Times New Roman"/>
          <w:sz w:val="24"/>
          <w:szCs w:val="24"/>
          <w:lang w:val="sr-Cyrl-CS"/>
        </w:rPr>
        <w:t xml:space="preserve">Руководство установе је утврдило стратегију управљања квалитетом у свим процесима рада Установе. Јасна јавна стратегија квалитета постоји, чији су субјекти: </w:t>
      </w:r>
      <w:r w:rsidRPr="00410B9D">
        <w:rPr>
          <w:rFonts w:ascii="Times New Roman" w:hAnsi="Times New Roman"/>
          <w:sz w:val="24"/>
          <w:szCs w:val="24"/>
          <w:lang w:val="sr-Cyrl-CS"/>
        </w:rPr>
        <w:lastRenderedPageBreak/>
        <w:t>Савет Факултета, Наставно-научно веће, декан, Одбор за квалитет, Комисија за праћење и унапређивање, Комисија за односе са студентима, студенти, наставници, сарадници, ненаставно особље. Студенти имају значајну улогу процесу самовредновања. Они учествују у оцењивању квалитета установе студијских програма, наставе и услова рада. Анкетирање се врши у складу са одредбама Правилника о студентском вредновању квалитета студија и врши се на крају семестра. Извештај о самовредновању садржи све релевантне податке о стратегији обезбеђивања квалитета, стандардима о поступцима за обезбеђивање квалитета, систем обезбеђења квалитета, квалитет студијског програма, квалитет наставног процеса, квалитет наставника, простора и опреме. Наставно-научно веће усвојило је Правилник о уџбеницима. У Статуту Факултета регулисан је рад комисија Одбора за квалитет и надлежност.</w:t>
      </w:r>
    </w:p>
    <w:p w:rsidR="00410B9D" w:rsidRPr="00410B9D" w:rsidRDefault="00410B9D" w:rsidP="00410B9D">
      <w:pPr>
        <w:spacing w:after="120" w:line="240" w:lineRule="auto"/>
        <w:ind w:firstLine="567"/>
        <w:jc w:val="both"/>
        <w:rPr>
          <w:rFonts w:ascii="Times New Roman" w:hAnsi="Times New Roman"/>
          <w:sz w:val="24"/>
          <w:szCs w:val="24"/>
          <w:lang w:val="sr-Cyrl-CS"/>
        </w:rPr>
      </w:pPr>
      <w:r w:rsidRPr="00410B9D">
        <w:rPr>
          <w:rFonts w:ascii="Times New Roman" w:hAnsi="Times New Roman"/>
          <w:sz w:val="24"/>
          <w:szCs w:val="24"/>
          <w:lang w:val="sr-Cyrl-CS"/>
        </w:rPr>
        <w:t>На сајту Факултета објављени су основни задаци, циљеви, исходи, студијски програми и други важни подаци који омогућавају студентима да донесу одлуке о свом образовању. Из Прилога 13.1 виде се основне информације о Факултету, важна обавештења (припремна настава, конкурсни поступак, потребна документа, пријемни испит –  упутство за полагање, рангирање, упис примљених кандидата, огледни пример тестова). На сајту Факултета је објављена листа наставника и сарадника са подацима о њиховим квалификацијама и ангажовању у високошколској установи.</w:t>
      </w:r>
    </w:p>
    <w:p w:rsidR="00A07D15" w:rsidRDefault="00C22B70" w:rsidP="00A07D15">
      <w:pPr>
        <w:spacing w:after="120" w:line="240" w:lineRule="auto"/>
        <w:ind w:firstLine="567"/>
        <w:jc w:val="both"/>
        <w:rPr>
          <w:rFonts w:ascii="Times New Roman" w:hAnsi="Times New Roman"/>
          <w:sz w:val="24"/>
          <w:lang w:val="sr-Latn-CS"/>
        </w:rPr>
      </w:pPr>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410B9D" w:rsidRPr="00410B9D" w:rsidRDefault="00410B9D" w:rsidP="00410B9D">
      <w:pPr>
        <w:spacing w:after="120" w:line="240" w:lineRule="auto"/>
        <w:ind w:firstLine="567"/>
        <w:jc w:val="both"/>
        <w:rPr>
          <w:rFonts w:ascii="Times New Roman" w:hAnsi="Times New Roman"/>
          <w:sz w:val="24"/>
          <w:lang w:val="sr-Cyrl-CS"/>
        </w:rPr>
      </w:pPr>
      <w:r w:rsidRPr="00410B9D">
        <w:rPr>
          <w:rFonts w:ascii="Times New Roman" w:hAnsi="Times New Roman"/>
          <w:sz w:val="24"/>
          <w:lang w:val="sr-Cyrl-CS"/>
        </w:rPr>
        <w:t xml:space="preserve">Kомисија за акредитацију и проверу квалитета, утврдила је да високошколска установа </w:t>
      </w:r>
      <w:r w:rsidRPr="00410B9D">
        <w:rPr>
          <w:rFonts w:ascii="Times New Roman" w:hAnsi="Times New Roman"/>
          <w:b/>
          <w:sz w:val="24"/>
          <w:lang w:val="sr-Cyrl-CS"/>
        </w:rPr>
        <w:fldChar w:fldCharType="begin"/>
      </w:r>
      <w:r w:rsidRPr="00410B9D">
        <w:rPr>
          <w:rFonts w:ascii="Times New Roman" w:hAnsi="Times New Roman"/>
          <w:b/>
          <w:sz w:val="24"/>
          <w:lang w:val="sr-Cyrl-CS"/>
        </w:rPr>
        <w:instrText xml:space="preserve"> DOCVARIABLE ConvertString(UstanovaNaziv,1,5) \* MERGEFORMAT </w:instrText>
      </w:r>
      <w:r w:rsidRPr="00410B9D">
        <w:rPr>
          <w:rFonts w:ascii="Times New Roman" w:hAnsi="Times New Roman"/>
          <w:sz w:val="24"/>
          <w:lang w:val="sr-Latn-CS"/>
        </w:rPr>
        <w:fldChar w:fldCharType="end"/>
      </w:r>
      <w:r w:rsidRPr="00410B9D">
        <w:rPr>
          <w:rFonts w:ascii="Times New Roman" w:hAnsi="Times New Roman"/>
          <w:b/>
          <w:sz w:val="24"/>
          <w:lang w:val="sr-Cyrl-CS"/>
        </w:rPr>
        <w:t xml:space="preserve"> УЧИТЕЉСКИ УНИВЕРЗИТЕТА У НИШУ </w:t>
      </w:r>
      <w:r w:rsidRPr="00410B9D">
        <w:rPr>
          <w:rFonts w:ascii="Times New Roman" w:hAnsi="Times New Roman"/>
          <w:sz w:val="24"/>
          <w:lang w:val="sr-Cyrl-CS"/>
        </w:rPr>
        <w:t>има укупно 25 наставника са пуним радним временом, 11 наставника са непуним радним временом, 15 сарадника са пуним радним временом, 5.650м</w:t>
      </w:r>
      <w:r w:rsidRPr="00410B9D">
        <w:rPr>
          <w:rFonts w:ascii="Times New Roman" w:hAnsi="Times New Roman"/>
          <w:sz w:val="24"/>
          <w:vertAlign w:val="superscript"/>
          <w:lang w:val="sr-Cyrl-CS"/>
        </w:rPr>
        <w:t>2</w:t>
      </w:r>
      <w:r w:rsidRPr="00410B9D">
        <w:rPr>
          <w:rFonts w:ascii="Times New Roman" w:hAnsi="Times New Roman"/>
          <w:sz w:val="24"/>
          <w:lang w:val="sr-Cyrl-CS"/>
        </w:rPr>
        <w:t xml:space="preserve"> бруто  простора за извођење наставе за укупно 774 студента у седишту.</w:t>
      </w:r>
    </w:p>
    <w:p w:rsidR="0038116A" w:rsidRDefault="0038116A">
      <w:pPr>
        <w:spacing w:after="120" w:line="240" w:lineRule="auto"/>
        <w:ind w:firstLine="567"/>
        <w:jc w:val="both"/>
        <w:rPr>
          <w:rFonts w:ascii="Times New Roman" w:hAnsi="Times New Roman"/>
          <w:sz w:val="24"/>
        </w:rPr>
      </w:pPr>
      <w:bookmarkStart w:id="8" w:name="_GoBack"/>
      <w:bookmarkEnd w:id="8"/>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C22B70">
        <w:rPr>
          <w:rFonts w:ascii="Times New Roman" w:hAnsi="Times New Roman"/>
          <w:b/>
          <w:sz w:val="24"/>
        </w:rPr>
        <w:t>високошколске установе</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C22B70">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C22B70">
        <w:rPr>
          <w:rFonts w:ascii="Times New Roman" w:hAnsi="Times New Roman"/>
          <w:b/>
          <w:caps/>
          <w:sz w:val="24"/>
        </w:rPr>
        <w:t>високошколске установе</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C22B70">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НИШУ-УЧИТЕЉСКИ ФАКУЛТЕТ У ВРАЊУ</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ПАРТИЗАНСКА 14</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ВРАЊЕ</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102188151</w:t>
      </w:r>
      <w:r w:rsidR="0038116A">
        <w:rPr>
          <w:rFonts w:ascii="Times New Roman" w:hAnsi="Times New Roman"/>
          <w:sz w:val="24"/>
          <w:lang w:val="sr-Cyrl-CS"/>
        </w:rPr>
        <w:t xml:space="preserve">, Матични број: </w:t>
      </w:r>
      <w:r>
        <w:rPr>
          <w:rFonts w:ascii="Times New Roman" w:hAnsi="Times New Roman"/>
          <w:sz w:val="24"/>
        </w:rPr>
        <w:t>06876617</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w:t>
      </w:r>
      <w:r>
        <w:rPr>
          <w:rFonts w:ascii="Times New Roman" w:hAnsi="Times New Roman"/>
          <w:b/>
          <w:sz w:val="24"/>
        </w:rPr>
        <w:t>за акредитацију високошколске установе,</w:t>
      </w:r>
      <w:r w:rsidR="0038116A">
        <w:rPr>
          <w:rFonts w:ascii="Times New Roman" w:hAnsi="Times New Roman"/>
          <w:sz w:val="24"/>
          <w:lang w:val="sr-Cyrl-CS"/>
        </w:rPr>
        <w:t xml:space="preserve">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C22B70">
              <w:rPr>
                <w:rFonts w:ascii="Times New Roman" w:hAnsi="Times New Roman"/>
                <w:sz w:val="24"/>
                <w:lang w:val="sr-Latn-CS"/>
              </w:rPr>
              <w:t>612-00-00082/2014-04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C22B70">
              <w:rPr>
                <w:rFonts w:ascii="Times New Roman" w:hAnsi="Times New Roman"/>
                <w:sz w:val="24"/>
                <w:lang w:val="sr-Latn-CS"/>
              </w:rPr>
              <w:t>27.06.2014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6592F8F4">
      <w:start w:val="2"/>
      <w:numFmt w:val="bullet"/>
      <w:lvlText w:val="-"/>
      <w:lvlJc w:val="left"/>
      <w:pPr>
        <w:ind w:left="720" w:hanging="360"/>
      </w:pPr>
      <w:rPr>
        <w:rFonts w:ascii="Calibri" w:eastAsia="Calibri" w:hAnsi="Calibri" w:cs="Times New Roman" w:hint="default"/>
      </w:rPr>
    </w:lvl>
    <w:lvl w:ilvl="1" w:tplc="37A4D580" w:tentative="1">
      <w:start w:val="1"/>
      <w:numFmt w:val="bullet"/>
      <w:lvlText w:val="o"/>
      <w:lvlJc w:val="left"/>
      <w:pPr>
        <w:ind w:left="1440" w:hanging="360"/>
      </w:pPr>
      <w:rPr>
        <w:rFonts w:ascii="Courier New" w:hAnsi="Courier New" w:cs="Courier New" w:hint="default"/>
      </w:rPr>
    </w:lvl>
    <w:lvl w:ilvl="2" w:tplc="096CBEFC" w:tentative="1">
      <w:start w:val="1"/>
      <w:numFmt w:val="bullet"/>
      <w:lvlText w:val=""/>
      <w:lvlJc w:val="left"/>
      <w:pPr>
        <w:ind w:left="2160" w:hanging="360"/>
      </w:pPr>
      <w:rPr>
        <w:rFonts w:ascii="Wingdings" w:hAnsi="Wingdings" w:hint="default"/>
      </w:rPr>
    </w:lvl>
    <w:lvl w:ilvl="3" w:tplc="7ED6566C" w:tentative="1">
      <w:start w:val="1"/>
      <w:numFmt w:val="bullet"/>
      <w:lvlText w:val=""/>
      <w:lvlJc w:val="left"/>
      <w:pPr>
        <w:ind w:left="2880" w:hanging="360"/>
      </w:pPr>
      <w:rPr>
        <w:rFonts w:ascii="Symbol" w:hAnsi="Symbol" w:hint="default"/>
      </w:rPr>
    </w:lvl>
    <w:lvl w:ilvl="4" w:tplc="C220D5C2" w:tentative="1">
      <w:start w:val="1"/>
      <w:numFmt w:val="bullet"/>
      <w:lvlText w:val="o"/>
      <w:lvlJc w:val="left"/>
      <w:pPr>
        <w:ind w:left="3600" w:hanging="360"/>
      </w:pPr>
      <w:rPr>
        <w:rFonts w:ascii="Courier New" w:hAnsi="Courier New" w:cs="Courier New" w:hint="default"/>
      </w:rPr>
    </w:lvl>
    <w:lvl w:ilvl="5" w:tplc="34D07482" w:tentative="1">
      <w:start w:val="1"/>
      <w:numFmt w:val="bullet"/>
      <w:lvlText w:val=""/>
      <w:lvlJc w:val="left"/>
      <w:pPr>
        <w:ind w:left="4320" w:hanging="360"/>
      </w:pPr>
      <w:rPr>
        <w:rFonts w:ascii="Wingdings" w:hAnsi="Wingdings" w:hint="default"/>
      </w:rPr>
    </w:lvl>
    <w:lvl w:ilvl="6" w:tplc="21B23262" w:tentative="1">
      <w:start w:val="1"/>
      <w:numFmt w:val="bullet"/>
      <w:lvlText w:val=""/>
      <w:lvlJc w:val="left"/>
      <w:pPr>
        <w:ind w:left="5040" w:hanging="360"/>
      </w:pPr>
      <w:rPr>
        <w:rFonts w:ascii="Symbol" w:hAnsi="Symbol" w:hint="default"/>
      </w:rPr>
    </w:lvl>
    <w:lvl w:ilvl="7" w:tplc="5E58AE12" w:tentative="1">
      <w:start w:val="1"/>
      <w:numFmt w:val="bullet"/>
      <w:lvlText w:val="o"/>
      <w:lvlJc w:val="left"/>
      <w:pPr>
        <w:ind w:left="5760" w:hanging="360"/>
      </w:pPr>
      <w:rPr>
        <w:rFonts w:ascii="Courier New" w:hAnsi="Courier New" w:cs="Courier New" w:hint="default"/>
      </w:rPr>
    </w:lvl>
    <w:lvl w:ilvl="8" w:tplc="99B2C950"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E0362158">
      <w:start w:val="1"/>
      <w:numFmt w:val="decimal"/>
      <w:lvlText w:val="%1."/>
      <w:lvlJc w:val="left"/>
      <w:pPr>
        <w:ind w:left="720" w:hanging="360"/>
      </w:pPr>
      <w:rPr>
        <w:rFonts w:hint="default"/>
      </w:rPr>
    </w:lvl>
    <w:lvl w:ilvl="1" w:tplc="7B422FBE" w:tentative="1">
      <w:start w:val="1"/>
      <w:numFmt w:val="lowerLetter"/>
      <w:lvlText w:val="%2."/>
      <w:lvlJc w:val="left"/>
      <w:pPr>
        <w:ind w:left="1440" w:hanging="360"/>
      </w:pPr>
    </w:lvl>
    <w:lvl w:ilvl="2" w:tplc="183045B2" w:tentative="1">
      <w:start w:val="1"/>
      <w:numFmt w:val="lowerRoman"/>
      <w:lvlText w:val="%3."/>
      <w:lvlJc w:val="right"/>
      <w:pPr>
        <w:ind w:left="2160" w:hanging="180"/>
      </w:pPr>
    </w:lvl>
    <w:lvl w:ilvl="3" w:tplc="158635FC" w:tentative="1">
      <w:start w:val="1"/>
      <w:numFmt w:val="decimal"/>
      <w:lvlText w:val="%4."/>
      <w:lvlJc w:val="left"/>
      <w:pPr>
        <w:ind w:left="2880" w:hanging="360"/>
      </w:pPr>
    </w:lvl>
    <w:lvl w:ilvl="4" w:tplc="810E8472" w:tentative="1">
      <w:start w:val="1"/>
      <w:numFmt w:val="lowerLetter"/>
      <w:lvlText w:val="%5."/>
      <w:lvlJc w:val="left"/>
      <w:pPr>
        <w:ind w:left="3600" w:hanging="360"/>
      </w:pPr>
    </w:lvl>
    <w:lvl w:ilvl="5" w:tplc="75CCA516" w:tentative="1">
      <w:start w:val="1"/>
      <w:numFmt w:val="lowerRoman"/>
      <w:lvlText w:val="%6."/>
      <w:lvlJc w:val="right"/>
      <w:pPr>
        <w:ind w:left="4320" w:hanging="180"/>
      </w:pPr>
    </w:lvl>
    <w:lvl w:ilvl="6" w:tplc="B2CE39A8" w:tentative="1">
      <w:start w:val="1"/>
      <w:numFmt w:val="decimal"/>
      <w:lvlText w:val="%7."/>
      <w:lvlJc w:val="left"/>
      <w:pPr>
        <w:ind w:left="5040" w:hanging="360"/>
      </w:pPr>
    </w:lvl>
    <w:lvl w:ilvl="7" w:tplc="46F6A7D2" w:tentative="1">
      <w:start w:val="1"/>
      <w:numFmt w:val="lowerLetter"/>
      <w:lvlText w:val="%8."/>
      <w:lvlJc w:val="left"/>
      <w:pPr>
        <w:ind w:left="5760" w:hanging="360"/>
      </w:pPr>
    </w:lvl>
    <w:lvl w:ilvl="8" w:tplc="B0648B80"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B70"/>
    <w:rsid w:val="00050E9C"/>
    <w:rsid w:val="002F49CC"/>
    <w:rsid w:val="0038116A"/>
    <w:rsid w:val="00381277"/>
    <w:rsid w:val="00410B9D"/>
    <w:rsid w:val="004D0607"/>
    <w:rsid w:val="00505B4F"/>
    <w:rsid w:val="005865E1"/>
    <w:rsid w:val="0060172A"/>
    <w:rsid w:val="0060653D"/>
    <w:rsid w:val="006E1271"/>
    <w:rsid w:val="008B3058"/>
    <w:rsid w:val="008C629A"/>
    <w:rsid w:val="008E0802"/>
    <w:rsid w:val="00906010"/>
    <w:rsid w:val="00935682"/>
    <w:rsid w:val="009D250A"/>
    <w:rsid w:val="009E7341"/>
    <w:rsid w:val="00A00141"/>
    <w:rsid w:val="00A04CC9"/>
    <w:rsid w:val="00A07D15"/>
    <w:rsid w:val="00AB6DE5"/>
    <w:rsid w:val="00B0755E"/>
    <w:rsid w:val="00B375B5"/>
    <w:rsid w:val="00BA23E3"/>
    <w:rsid w:val="00BA7811"/>
    <w:rsid w:val="00BC388D"/>
    <w:rsid w:val="00C22B70"/>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410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B9D"/>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410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B9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2E4ABE0C-E9CD-4205-84E5-8C81B2140674}"/>
</file>

<file path=customXml/itemProps2.xml><?xml version="1.0" encoding="utf-8"?>
<ds:datastoreItem xmlns:ds="http://schemas.openxmlformats.org/officeDocument/2006/customXml" ds:itemID="{38C0142A-7D57-4166-9050-08343578DE17}"/>
</file>

<file path=customXml/itemProps3.xml><?xml version="1.0" encoding="utf-8"?>
<ds:datastoreItem xmlns:ds="http://schemas.openxmlformats.org/officeDocument/2006/customXml" ds:itemID="{B160C17C-1C94-43B2-8B41-C5DBE309B5C9}"/>
</file>

<file path=docProps/app.xml><?xml version="1.0" encoding="utf-8"?>
<Properties xmlns="http://schemas.openxmlformats.org/officeDocument/2006/extended-properties" xmlns:vt="http://schemas.openxmlformats.org/officeDocument/2006/docPropsVTypes">
  <Template>Uverenje</Template>
  <TotalTime>0</TotalTime>
  <Pages>5</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3</cp:revision>
  <dcterms:created xsi:type="dcterms:W3CDTF">2014-09-25T08:50:00Z</dcterms:created>
  <dcterms:modified xsi:type="dcterms:W3CDTF">2014-09-25T08:56:00Z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